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3C" w:rsidRPr="00E4013C" w:rsidRDefault="00E4013C" w:rsidP="00E4013C">
      <w:pPr>
        <w:tabs>
          <w:tab w:val="center" w:pos="4677"/>
          <w:tab w:val="left" w:pos="8070"/>
        </w:tabs>
        <w:spacing w:after="0"/>
        <w:rPr>
          <w:rStyle w:val="a5"/>
          <w:i w:val="0"/>
        </w:rPr>
      </w:pPr>
      <w:r>
        <w:rPr>
          <w:rStyle w:val="a5"/>
          <w:sz w:val="24"/>
          <w:szCs w:val="24"/>
        </w:rPr>
        <w:tab/>
      </w:r>
      <w:r w:rsidRPr="00E4013C">
        <w:rPr>
          <w:rStyle w:val="a5"/>
          <w:i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259715</wp:posOffset>
            </wp:positionV>
            <wp:extent cx="733425" cy="428625"/>
            <wp:effectExtent l="1905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13C" w:rsidRDefault="00E4013C" w:rsidP="00E4013C">
      <w:pPr>
        <w:tabs>
          <w:tab w:val="center" w:pos="4677"/>
          <w:tab w:val="left" w:pos="8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3C" w:rsidRDefault="00E4013C" w:rsidP="00E4013C">
      <w:pPr>
        <w:tabs>
          <w:tab w:val="center" w:pos="4677"/>
          <w:tab w:val="left" w:pos="8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3C" w:rsidRDefault="006238CB" w:rsidP="00E4013C">
      <w:pPr>
        <w:tabs>
          <w:tab w:val="center" w:pos="4677"/>
          <w:tab w:val="left" w:pos="8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ПРОЕКТ</w:t>
      </w:r>
    </w:p>
    <w:p w:rsidR="00E4013C" w:rsidRDefault="00E4013C" w:rsidP="00E4013C">
      <w:pPr>
        <w:tabs>
          <w:tab w:val="center" w:pos="4677"/>
          <w:tab w:val="left" w:pos="807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E4013C" w:rsidRDefault="00E4013C" w:rsidP="00E4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E4013C" w:rsidRDefault="00E4013C" w:rsidP="00E4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E4013C" w:rsidRDefault="00E4013C" w:rsidP="00E4013C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13C" w:rsidRDefault="00E4013C" w:rsidP="00E4013C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013C" w:rsidRDefault="00E4013C" w:rsidP="00E4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4013C" w:rsidRDefault="00E4013C" w:rsidP="00E4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3C" w:rsidRDefault="00E4013C" w:rsidP="00E401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03.09.2018г.                                        с. Григорьевка                                                   № </w:t>
      </w:r>
    </w:p>
    <w:p w:rsidR="00633283" w:rsidRDefault="00633283" w:rsidP="00633283">
      <w:pPr>
        <w:pStyle w:val="ac"/>
      </w:pPr>
    </w:p>
    <w:p w:rsidR="002B632B" w:rsidRDefault="002B632B" w:rsidP="002B632B">
      <w:pPr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«О порядке </w:t>
      </w:r>
      <w:r w:rsidRPr="002D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</w:t>
      </w:r>
      <w:r w:rsidR="00E40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щими Григорьевского сельского </w:t>
      </w:r>
      <w:r w:rsidRPr="002D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632B" w:rsidRDefault="002B632B" w:rsidP="002B632B">
      <w:pPr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32B" w:rsidRDefault="002B632B" w:rsidP="00633283">
      <w:pPr>
        <w:pStyle w:val="ac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33283">
        <w:rPr>
          <w:rFonts w:ascii="Times New Roman" w:hAnsi="Times New Roman" w:cs="Times New Roman"/>
          <w:sz w:val="24"/>
          <w:szCs w:val="24"/>
          <w:shd w:val="clear" w:color="auto" w:fill="F9F9F9"/>
        </w:rPr>
        <w:t>В соответствии с </w:t>
      </w:r>
      <w:hyperlink r:id="rId9" w:history="1">
        <w:r w:rsidRPr="002B63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  <w:r w:rsidRPr="002B632B">
        <w:rPr>
          <w:shd w:val="clear" w:color="auto" w:fill="F9F9F9"/>
        </w:rPr>
        <w:t>,  </w:t>
      </w:r>
      <w:hyperlink r:id="rId10" w:history="1">
        <w:r w:rsidRPr="002B63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Федеральными законами от 25.12.2008 N 273-ФЗ «О противодействии коррупции»</w:t>
        </w:r>
      </w:hyperlink>
      <w:r w:rsidRPr="002B632B">
        <w:rPr>
          <w:shd w:val="clear" w:color="auto" w:fill="F9F9F9"/>
        </w:rPr>
        <w:t>, </w:t>
      </w:r>
      <w:hyperlink r:id="rId11" w:history="1">
        <w:r w:rsidRPr="00E401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от 02.03.2007 N 25-ФЗ «О муниципальной службе в Российской Федерации»</w:t>
        </w:r>
      </w:hyperlink>
      <w:r w:rsidR="00E4013C">
        <w:rPr>
          <w:rFonts w:ascii="Times New Roman" w:hAnsi="Times New Roman" w:cs="Times New Roman"/>
          <w:shd w:val="clear" w:color="auto" w:fill="F9F9F9"/>
        </w:rPr>
        <w:t xml:space="preserve">, </w:t>
      </w:r>
      <w:r w:rsidRPr="00E4013C">
        <w:rPr>
          <w:rFonts w:ascii="Times New Roman" w:hAnsi="Times New Roman" w:cs="Times New Roman"/>
          <w:shd w:val="clear" w:color="auto" w:fill="F9F9F9"/>
        </w:rPr>
        <w:t xml:space="preserve"> </w:t>
      </w:r>
      <w:r w:rsidRPr="00633283">
        <w:rPr>
          <w:rFonts w:ascii="Times New Roman" w:hAnsi="Times New Roman" w:cs="Times New Roman"/>
          <w:sz w:val="24"/>
          <w:szCs w:val="24"/>
          <w:shd w:val="clear" w:color="auto" w:fill="F9F9F9"/>
        </w:rPr>
        <w:t>Уста</w:t>
      </w:r>
      <w:r w:rsidR="00E4013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вом Григорьевского сельского </w:t>
      </w:r>
      <w:r w:rsidRPr="00633283">
        <w:rPr>
          <w:rFonts w:ascii="Times New Roman" w:hAnsi="Times New Roman" w:cs="Times New Roman"/>
          <w:sz w:val="24"/>
          <w:szCs w:val="24"/>
          <w:shd w:val="clear" w:color="auto" w:fill="F9F9F9"/>
        </w:rPr>
        <w:t>поселения</w:t>
      </w:r>
      <w:r w:rsidR="00870608">
        <w:rPr>
          <w:rFonts w:ascii="Times New Roman" w:hAnsi="Times New Roman" w:cs="Times New Roman"/>
          <w:sz w:val="24"/>
          <w:szCs w:val="24"/>
          <w:shd w:val="clear" w:color="auto" w:fill="F9F9F9"/>
        </w:rPr>
        <w:t>, муниципальный комитет</w:t>
      </w:r>
      <w:r w:rsidR="00633283" w:rsidRPr="00633283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</w:p>
    <w:p w:rsidR="00870608" w:rsidRDefault="00870608" w:rsidP="00633283">
      <w:pPr>
        <w:pStyle w:val="ac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870608" w:rsidRPr="00870608" w:rsidRDefault="00870608" w:rsidP="00633283">
      <w:pPr>
        <w:pStyle w:val="ac"/>
        <w:ind w:firstLine="502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87060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РЕШИЛ:</w:t>
      </w:r>
    </w:p>
    <w:p w:rsidR="00633283" w:rsidRP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33283" w:rsidRDefault="00633283" w:rsidP="00633283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 порядке проведения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</w:t>
      </w:r>
      <w:r w:rsidR="00E4013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муниципальными служащими Григорьевского сельского</w:t>
      </w:r>
      <w:r w:rsidRPr="0063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283" w:rsidRDefault="00633283" w:rsidP="00633283">
      <w:pPr>
        <w:pStyle w:val="ac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3C" w:rsidRPr="003272F1" w:rsidRDefault="00E4013C" w:rsidP="00E4013C">
      <w:pPr>
        <w:spacing w:after="0"/>
        <w:jc w:val="both"/>
      </w:pPr>
      <w:r w:rsidRPr="00E40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13C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 официального обнародования в местах установленных Уставом Григорьевского сельского поселения.</w:t>
      </w:r>
    </w:p>
    <w:p w:rsidR="00E4013C" w:rsidRDefault="00E4013C" w:rsidP="00E401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4013C" w:rsidRDefault="00E4013C" w:rsidP="00E401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4013C" w:rsidRDefault="00E4013C" w:rsidP="00E401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                                                    </w:t>
      </w:r>
      <w:r w:rsidR="0087060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А.С. Дрёмин</w:t>
      </w:r>
    </w:p>
    <w:p w:rsid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D1884" w:rsidRDefault="00AD1884" w:rsidP="0063328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3283" w:rsidRP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B632B" w:rsidRDefault="002B632B" w:rsidP="00633283">
      <w:pPr>
        <w:pStyle w:val="ac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32B" w:rsidRDefault="002B632B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32B" w:rsidRDefault="002B632B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32B" w:rsidRDefault="002B632B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32B" w:rsidRDefault="002B632B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32B" w:rsidRDefault="002B632B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32B" w:rsidRDefault="002B632B" w:rsidP="002B632B">
      <w:pPr>
        <w:spacing w:after="136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B632B" w:rsidRDefault="002B632B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C2A" w:rsidRPr="002D6C2A" w:rsidRDefault="00923AD1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6221C" w:rsidRDefault="00923AD1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 w:rsidR="0096221C" w:rsidRPr="002D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анализа сведений о доходах, расходах, об имуществе и обязательствах имущественного характера</w:t>
      </w:r>
      <w:r w:rsidR="002D6C2A" w:rsidRPr="002D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представляемых гражданами, претендующими на замещение должностей муниципальной службы и муниципальными служащими </w:t>
      </w:r>
      <w:r w:rsidR="00E40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Григорьевского сельского</w:t>
      </w:r>
      <w:r w:rsidR="002D6C2A" w:rsidRPr="002D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2D581E" w:rsidRPr="002D6C2A" w:rsidRDefault="002D581E" w:rsidP="0096221C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1C" w:rsidRDefault="002D581E" w:rsidP="002D581E">
      <w:pPr>
        <w:pStyle w:val="a7"/>
        <w:numPr>
          <w:ilvl w:val="0"/>
          <w:numId w:val="8"/>
        </w:num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D581E" w:rsidRPr="002D581E" w:rsidRDefault="002D581E" w:rsidP="002D581E">
      <w:pPr>
        <w:pStyle w:val="a7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1C" w:rsidRPr="00923AD1" w:rsidRDefault="00BF10D1" w:rsidP="00BF10D1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2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4D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 Методическими рекомендациями по проведению анализа сведений о доходах, расходах, об имуществе и обязательствах имущественного характера, разработанных Министерством труда и социальной защиты Российской Федерации и </w:t>
      </w:r>
      <w:r w:rsidR="0092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проведения должностными лицами органов местного самоуправления </w:t>
      </w:r>
      <w:r w:rsidR="00E401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 поселения</w:t>
      </w:r>
      <w:r w:rsidR="0092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работу по профилактике коррупционных и иных правонарушений </w:t>
      </w:r>
      <w:r w:rsidR="0005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0535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</w:t>
      </w:r>
      <w:r w:rsidR="00923AD1" w:rsidRPr="002D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AD1" w:rsidRPr="0092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</w:t>
      </w:r>
      <w:r w:rsidR="00E401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 поселения</w:t>
      </w:r>
      <w:r w:rsidR="00923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21C" w:rsidRPr="0096221C" w:rsidRDefault="00BF10D1" w:rsidP="00BF10D1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сведения) </w:t>
      </w:r>
      <w:r w:rsidR="00956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25 декабря 2008 г. № 273-ФЗ «О противодействии коррупции», а также иными федеральными законами.</w:t>
      </w:r>
    </w:p>
    <w:p w:rsidR="0096221C" w:rsidRPr="0096221C" w:rsidRDefault="00BF10D1" w:rsidP="00BF10D1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сведений входит в число основных функций</w:t>
      </w:r>
      <w:r w:rsidR="002D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органов местного самоуправления </w:t>
      </w:r>
      <w:r w:rsidR="00E401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 поселения</w:t>
      </w:r>
      <w:r w:rsidR="002D5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работу по профилактике коррупционных и иных правонарушений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положениями федерального законодательства о противодействии коррупции.</w:t>
      </w:r>
    </w:p>
    <w:p w:rsidR="0096221C" w:rsidRPr="0096221C" w:rsidRDefault="00BF10D1" w:rsidP="00BF10D1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настоящ</w:t>
      </w:r>
      <w:r w:rsidR="008C1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C1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соблюдения муниципальными служащими</w:t>
      </w:r>
      <w:r w:rsidR="008C1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распространяется обязанность представлять сведения, требований антикоррупционного законодательства.</w:t>
      </w:r>
    </w:p>
    <w:p w:rsidR="00DE0DED" w:rsidRPr="00DE0DED" w:rsidRDefault="00BF10D1" w:rsidP="00BF10D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DE0DED" w:rsidRPr="00DE0DED">
        <w:rPr>
          <w:rFonts w:ascii="Times New Roman" w:hAnsi="Times New Roman" w:cs="Times New Roman"/>
          <w:sz w:val="24"/>
          <w:szCs w:val="24"/>
        </w:rPr>
        <w:t xml:space="preserve">Анализ сведений </w:t>
      </w:r>
      <w:r w:rsidR="00DE0DED">
        <w:rPr>
          <w:rFonts w:ascii="Times New Roman" w:hAnsi="Times New Roman" w:cs="Times New Roman"/>
          <w:sz w:val="24"/>
          <w:szCs w:val="24"/>
        </w:rPr>
        <w:t>может проводится следующими способами</w:t>
      </w:r>
      <w:r w:rsidR="00DE0DED" w:rsidRPr="00DE0DED">
        <w:rPr>
          <w:rFonts w:ascii="Times New Roman" w:hAnsi="Times New Roman" w:cs="Times New Roman"/>
          <w:sz w:val="24"/>
          <w:szCs w:val="24"/>
        </w:rPr>
        <w:t>:</w:t>
      </w:r>
    </w:p>
    <w:p w:rsidR="00DE0DED" w:rsidRPr="00DE0DED" w:rsidRDefault="00DE0DED" w:rsidP="00DE0D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E0DED">
        <w:rPr>
          <w:rFonts w:ascii="Times New Roman" w:hAnsi="Times New Roman" w:cs="Times New Roman"/>
          <w:sz w:val="24"/>
          <w:szCs w:val="24"/>
        </w:rPr>
        <w:t xml:space="preserve">- проведение бесед с гражданами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DE0DED">
        <w:rPr>
          <w:rFonts w:ascii="Times New Roman" w:hAnsi="Times New Roman" w:cs="Times New Roman"/>
          <w:sz w:val="24"/>
          <w:szCs w:val="24"/>
        </w:rPr>
        <w:t xml:space="preserve"> служащими (работниками)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</w:t>
      </w:r>
      <w:r w:rsidRPr="00DE0DED">
        <w:rPr>
          <w:rFonts w:ascii="Times New Roman" w:hAnsi="Times New Roman" w:cs="Times New Roman"/>
          <w:sz w:val="24"/>
          <w:szCs w:val="24"/>
        </w:rPr>
        <w:lastRenderedPageBreak/>
        <w:t>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DE0DED" w:rsidRPr="00DE0DED" w:rsidRDefault="00DE0DED" w:rsidP="00DE0D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E0DED">
        <w:rPr>
          <w:rFonts w:ascii="Times New Roman" w:hAnsi="Times New Roman" w:cs="Times New Roman"/>
          <w:sz w:val="24"/>
          <w:szCs w:val="24"/>
        </w:rPr>
        <w:t>- направление запросов в целях получения от государственных (муниципальных) органов и организаций информации о соблюдении муниципальными 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DE0DED" w:rsidRPr="00DE0DED" w:rsidRDefault="00DE0DED" w:rsidP="00DE0D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E0DED">
        <w:rPr>
          <w:rFonts w:ascii="Times New Roman" w:hAnsi="Times New Roman" w:cs="Times New Roman"/>
          <w:sz w:val="24"/>
          <w:szCs w:val="24"/>
        </w:rPr>
        <w:t>- изучение представленных гражданами и муниципальными служащими (работниками)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 противодействии коррупции.</w:t>
      </w:r>
    </w:p>
    <w:p w:rsidR="00DE0DED" w:rsidRPr="00DE0DED" w:rsidRDefault="00BF10D1" w:rsidP="00BF10D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DE0DED" w:rsidRPr="00DE0DED">
        <w:rPr>
          <w:rFonts w:ascii="Times New Roman" w:hAnsi="Times New Roman" w:cs="Times New Roman"/>
          <w:sz w:val="24"/>
          <w:szCs w:val="24"/>
        </w:rPr>
        <w:t>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принимается соответствующее решение и проводится проверка в соответствии с законодательством Российской Федерации о противодействии коррупции.</w:t>
      </w:r>
    </w:p>
    <w:p w:rsidR="00C80756" w:rsidRDefault="00DE0DED" w:rsidP="00DE0DE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D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Нормы настоящего Положения также могут быть использованы при проведении анализа сведений  о доходах, об имуществе и обязательствах имущественного характера, представляемых руководителями муниципальных учреждений в соответствии с пунктом 3.1 части 1 статьи 8 Федерального закона № 237-ФЗ и частью 4 статьи 275 Трудового кодекса Российской Федерации.</w:t>
      </w:r>
    </w:p>
    <w:p w:rsidR="0096221C" w:rsidRPr="00DE0DED" w:rsidRDefault="00BF10D1" w:rsidP="00DE0DE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21C" w:rsidRPr="008C178D" w:rsidRDefault="008C178D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221C" w:rsidRPr="008C1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Первичная оценка справки о доходах, расходах, об имуществе и обязательствах имущественного характера за отчетный период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6221C" w:rsidRPr="0096221C" w:rsidRDefault="008C178D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справки осуществляет должностное лицо, ответственное за работу 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органе местного самоуправления </w:t>
      </w:r>
      <w:r w:rsidR="00E401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 поселения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21C" w:rsidRPr="0096221C" w:rsidRDefault="008C178D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96221C" w:rsidRPr="0096221C" w:rsidRDefault="008C178D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справки оценивается: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своевременность представления сведений.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соответствие представленной справки утвержденной форме;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правильность указания отчетного периода и отчетной даты, даты представления сведений, наличие подписи гражданина, претендующего на замещение должности</w:t>
      </w:r>
      <w:r w:rsidR="008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96221C" w:rsidRPr="0096221C" w:rsidRDefault="0096221C" w:rsidP="00AA1BE2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претендующие на замещение должностей </w:t>
      </w:r>
      <w:r w:rsidR="008C1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 осуществление полномочий по которым влечет за собой обязанность представлять сведения, представляют:</w:t>
      </w:r>
    </w:p>
    <w:p w:rsidR="0096221C" w:rsidRPr="0096221C" w:rsidRDefault="0096221C" w:rsidP="006238CB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сведения о своих доходах, доходах супруги (супруга), несовершеннолетних детей, полученных</w:t>
      </w:r>
      <w:r w:rsidR="0062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год (с 1 января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декабря), предшествующий году подачи документов,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96221C" w:rsidRPr="0096221C" w:rsidRDefault="0096221C" w:rsidP="006238CB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</w:t>
      </w:r>
      <w:r w:rsidR="0062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ующего месяцу подачи документов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отчетную дату).</w:t>
      </w:r>
    </w:p>
    <w:p w:rsidR="0096221C" w:rsidRPr="0096221C" w:rsidRDefault="008C178D" w:rsidP="00AA1BE2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служащие (работники) представляют: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сведения о своих доходах и расходах, доходах и расходах супруги (супруга), несовершеннолетних детей, полученных за календарный (отчетный) год (с 1 января по 31 декабря), предшествующий году представления сведений,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96221C" w:rsidRPr="0096221C" w:rsidRDefault="0096221C" w:rsidP="00AA1BE2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полнота заполнения соответствующих разделов справки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в:</w:t>
      </w:r>
    </w:p>
    <w:p w:rsidR="0096221C" w:rsidRPr="0096221C" w:rsidRDefault="0096221C" w:rsidP="00AA1BE2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 справки в обязательном порядке должны быть заполнены строки «Доход по основному месту работы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доходы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строка «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доход за отчетный период». 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96221C" w:rsidRPr="0096221C" w:rsidRDefault="0096221C" w:rsidP="00AA1BE2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3 справки, в случае указания наличия имущества в собственности, заполнению подлежат все графы соответствующего подраздела. При этом необходимо обращать внимание, что в обязательном порядке должен быть заполнен подраздел 3.1 «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</w:t>
      </w:r>
      <w:r w:rsid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подраздел 6.1 «Объекты недвижимого имущества, находящиеся в пользовании» справки. Одновременное отсутствие информации в обоих указанных подразделах не допускается;</w:t>
      </w:r>
    </w:p>
    <w:p w:rsidR="0096221C" w:rsidRPr="0096221C" w:rsidRDefault="0096221C" w:rsidP="00AA1BE2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разделах 4-7, в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</w:p>
    <w:p w:rsidR="0096221C" w:rsidRPr="00AA1BE2" w:rsidRDefault="00AA1BE2" w:rsidP="00AA1BE2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96221C" w:rsidRP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справки обязательному уточнению подлежит семейное положение лица, в целях подтверждения достаточного объема представленных сведений. 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AA1BE2" w:rsidRDefault="0096221C" w:rsidP="00AA1BE2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BE2" w:rsidRPr="003220AE" w:rsidRDefault="0096221C" w:rsidP="003220AE">
      <w:pPr>
        <w:pStyle w:val="a7"/>
        <w:numPr>
          <w:ilvl w:val="0"/>
          <w:numId w:val="9"/>
        </w:num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Детальный анализ справки о доходах, расходах, об имуществе и обязательствах имущественного характера за отчетный период</w:t>
      </w:r>
    </w:p>
    <w:p w:rsidR="0096221C" w:rsidRPr="00AA1BE2" w:rsidRDefault="0096221C" w:rsidP="00AA1BE2">
      <w:pPr>
        <w:pStyle w:val="a7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21C" w:rsidRPr="0096221C" w:rsidRDefault="00AA1BE2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анализом для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подразумевается деятельность по изучению сведений, представляемых лицами в соответствии с законодательством Российской Федерации о противодействии коррупции,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для проведения дальнейшей проверки.</w:t>
      </w:r>
    </w:p>
    <w:p w:rsidR="0096221C" w:rsidRPr="0096221C" w:rsidRDefault="00AA1BE2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 распоряжении должностного лица, ответственного за работу по профилактике коррупционных и иных правонарушений информацией об имущественном положении, осуществляемых полномочиях лица, представившего сведения, и иных лиц,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</w:t>
      </w:r>
      <w:r w:rsidR="00D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(работником) при поступлении на муниципальную службу (работу).</w:t>
      </w:r>
    </w:p>
    <w:p w:rsidR="0096221C" w:rsidRPr="0096221C" w:rsidRDefault="00DE5125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анализа должностное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:rsidR="0096221C" w:rsidRPr="0096221C" w:rsidRDefault="003220A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A27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</w:t>
      </w:r>
      <w:r w:rsidR="00DA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DA27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:rsidR="00956CCE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56CCE" w:rsidRPr="0095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Анализ</w:t>
      </w:r>
      <w:r w:rsidRPr="0095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титульного листа</w:t>
      </w:r>
    </w:p>
    <w:p w:rsidR="0096221C" w:rsidRPr="0096221C" w:rsidRDefault="00956CC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анализе титульного листа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следует обратить внимание на: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соответствие фамилии, имени и отчества (полностью, без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96221C" w:rsidRPr="0096221C" w:rsidRDefault="0096221C" w:rsidP="00DA275F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серия, номер, паспорта или свидетельства о рождении (для несовершеннолетних детей, не имеющих паспорт), дата выдачи и орган, выдавший документ. Сопоставление указанных сведений осуществляется с имеющейся актуальной информацией, хранящейся в личном деле лица;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соответствие адреса места регистрации лица, его супруги (супруга), несовершеннолетних детей с имеющейся актуальной информации, хранящейся в личном деле лица (по состоянию на дату представления справки);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</w:t>
      </w:r>
    </w:p>
    <w:p w:rsidR="0096221C" w:rsidRPr="0096221C" w:rsidRDefault="0096221C" w:rsidP="00956CCE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лицо поступает на муниципальную 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96221C" w:rsidRPr="0096221C" w:rsidRDefault="00956CC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A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недопущения попытки сокрытия сведений о семейном положении в целях непредставления сведений на супругу (супруга) и несовершеннолетних детей, при приеме справки необходимо удостовериться, что в случае наличия в личном деле информации о супруге лица, представившего сведения, его несовершеннолетнем ребенке, сведения также представлены и на супругу (супруга), несовершеннолетнего ребенка.</w:t>
      </w:r>
    </w:p>
    <w:p w:rsidR="0096221C" w:rsidRPr="0096221C" w:rsidRDefault="00956CC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DA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анализе сведений о соблюдении </w:t>
      </w:r>
      <w:r w:rsidR="00DA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(работниками) требований о предотвращении или урегулировании конфликта интересов</w:t>
      </w:r>
      <w:r w:rsid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изучению на предмет наличия признаков личной заинтересованности</w:t>
      </w:r>
      <w:r w:rsid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регистрации таких лиц по месту жительства (месту пребывания) или фактическом пользовании недвижимым имуществом с иными гражданам</w:t>
      </w:r>
      <w:r w:rsid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(при наличии таких сведений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</w:t>
      </w:r>
      <w:r w:rsid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7C71" w:rsidRP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C71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</w:t>
      </w:r>
      <w:r w:rsid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57C71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</w:t>
      </w:r>
      <w:r w:rsid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21C" w:rsidRPr="0096221C" w:rsidRDefault="00956CC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выявления фактов возникновения конфликта интересов и нарушения иных положений законодательства Российской Федера</w:t>
      </w:r>
      <w:r w:rsid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противодействии коррупции,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отдельное внимание необходимо уделять анализу сведений о месте работы супруги (супруга) </w:t>
      </w:r>
      <w:r w:rsidR="00C8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(работника).</w:t>
      </w:r>
    </w:p>
    <w:p w:rsidR="0096221C" w:rsidRDefault="00956CC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F5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сведений о месте работы супруги (супруга) </w:t>
      </w:r>
      <w:r w:rsidR="00C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(работника)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C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(работника),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</w:t>
      </w:r>
      <w:r w:rsidR="00C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(работником) своих должностных (служебных) обязанностей (полномочий).</w:t>
      </w:r>
    </w:p>
    <w:p w:rsidR="00956CCE" w:rsidRPr="00956CCE" w:rsidRDefault="00956CC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Анализ Раздела 1  «Сведения о доходах»</w:t>
      </w:r>
    </w:p>
    <w:p w:rsidR="0096221C" w:rsidRPr="0096221C" w:rsidRDefault="00956CC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Анализ </w:t>
      </w:r>
      <w:r w:rsidR="00C6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</w:t>
      </w:r>
      <w:r w:rsidR="00C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8DD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</w:t>
      </w:r>
      <w:r w:rsidR="00C658DD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96221C" w:rsidRPr="0096221C" w:rsidRDefault="00956CC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74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лицами, на которых в соответствии с законодательством Российской Федерации возложена обязанность уведомления представителя нанимателя (работодателя) о выполнении иной оплачиваемой деятельности, проверяется наличие в личном деле лица уведомления, поданного на имя представителя нанимателя (работодателя), о намерении осуществлять иную оплачиваемую работу.</w:t>
      </w:r>
    </w:p>
    <w:p w:rsidR="0096221C" w:rsidRPr="0096221C" w:rsidRDefault="0096221C" w:rsidP="00742DBD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96221C" w:rsidRPr="0096221C" w:rsidRDefault="00172A56" w:rsidP="00172A56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информации о доходе указанной выше деятельности (доход от педагогической, научной, иной творческой деятельности, иного вида дохода), полученном лицом, супругой (супругом), несовершеннолетними детьми, необходимо обращать внимание на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соотношение такого дохода и дохода, полученного за аналогичный период по основному месту работы.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17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17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17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полученных от ценных бумаг и долей участия в коммерческих организациях (строка 5), должны соотноситься со сведениями, указанными в разделе 5 «Сведения о ценных бумагах» справки, а также справок за предыдущие периоды.</w:t>
      </w:r>
    </w:p>
    <w:p w:rsidR="009716FE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17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данном разделе иные доходы (строка 6) сверяются с соответствующими сведениями других разделов справки, а также справками за предшествующие периоды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сведения о доходах, полученных от сдачи в аренду недвижимого имущества, должны соответствовать сведениям о недвижимом имуществе, отражаемым в подразделе 3.1 «Недвижимое имущество» справки;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сведения о доходах, полученных от сдачи в аренду транспортного средства, должны соответствовать сведениям о транспортных средствах, отражаемым в подразделе 3.2 «Транспортные средства» справки;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сведения о доходах от вкладов в банках и иных кредитных организациях сопоставляются с разделом 4 «Сведения о счетах в банках и иных кредитных организациях» справки</w:t>
      </w:r>
      <w:r w:rsidR="00172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B0B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сведения о доходах, полученных лицом, супругой (супругом) от ценных бумаг и долей участия в коммерческих организациях сопоставляются с разделом 5 «Сведения о ценных бумагах» 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5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1 «</w:t>
      </w:r>
      <w:r w:rsidR="005C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доходах» справки обязательность указания итогового дохода (строка 7), который складывается из суммы строк 1 – 6 данного раздела.</w:t>
      </w:r>
    </w:p>
    <w:p w:rsidR="009716FE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FE" w:rsidRPr="009716FE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Раздела 2 «Сведения о расходах»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C7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2 «Сведения о расходах» справки заполняется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96221C" w:rsidRPr="0096221C" w:rsidRDefault="009716FE" w:rsidP="009716FE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паев в уставных (складочных) капиталах организаций).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(складочных)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капиталах организаций) в отчетном периоде лицом, его супругой (супругом) и несовершеннолетними детьми.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источников средств, за счет которых приобретено имущество, указанное в разделе 2 «Сведения о расходах» справки</w:t>
      </w:r>
      <w:r w:rsidR="00080A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обратить внимание на следующие возможные источники получения дохода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 (договорами), а также найти свое отражение в разделе 1 «Сведения о доходах», подразделах 3.1 «Недвижимое имущество» и 3.2 «Транспортные средства» справки (в случае, если такие сведения подлежат отражению в соответствующем подразделе);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денежные средства, полученные от физических лиц, в результате наследования, дарения, которые могут быть подтверждены соответствующими документами (выпиской из наследственного дела, договором дарения) и указаны в разделе 1 «Сведения о доходах» справки;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денежные средства, полученные вследствие возникновения срочного обязательства финансового характера (заем, кредит), подтверждаются договором займа, кредитным договором, сведения о которых могут быть отражены в разделе 4 «Сведения о счетах в банках и иных кредитных организациях» и (или) подразделе 6.2 «Срочные обязательства финансового характера» справки в случае, если подраздел 6.2. подлежит заполнению;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личные накопления семьи за предыдущие годы;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доход, полученный в результате владения ценными бумагами, акциями, (долями участия, паями в уставных (складочных) капиталах организаций), сведения о владении которыми сверяются со сведениями раздела 1 «Сведения о доходах» и раздела 5 «Сведения о ценных бумагах» справки.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чем, появление любого нового имущества в других разделах справки, подлежит тщательной проверке на предмет его отнесения к разделу 2 «Сведения о расходах» справки.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926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сведений о расходах внимание также необходимо уделять 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достаточной информации, 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Федерации.</w:t>
      </w:r>
    </w:p>
    <w:p w:rsidR="0096221C" w:rsidRPr="009716FE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716FE" w:rsidRPr="0097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</w:t>
      </w:r>
      <w:r w:rsidRPr="0097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</w:t>
      </w:r>
      <w:r w:rsidR="009716FE" w:rsidRPr="0097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7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«Сведения об имуществе»</w:t>
      </w:r>
    </w:p>
    <w:p w:rsidR="0096221C" w:rsidRPr="00080AC6" w:rsidRDefault="009716FE" w:rsidP="00080AC6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080AC6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96221C" w:rsidRPr="00080AC6">
        <w:rPr>
          <w:rFonts w:ascii="Times New Roman" w:hAnsi="Times New Roman" w:cs="Times New Roman"/>
          <w:sz w:val="24"/>
          <w:szCs w:val="24"/>
          <w:lang w:eastAsia="ru-RU"/>
        </w:rPr>
        <w:t xml:space="preserve">1. При проведении анализа </w:t>
      </w:r>
      <w:r w:rsidR="00080AC6" w:rsidRPr="00080AC6">
        <w:rPr>
          <w:rFonts w:ascii="Times New Roman" w:hAnsi="Times New Roman" w:cs="Times New Roman"/>
          <w:sz w:val="24"/>
          <w:szCs w:val="24"/>
          <w:lang w:eastAsia="ru-RU"/>
        </w:rPr>
        <w:t>Раздела 3 «Сведения об имуществе»</w:t>
      </w:r>
      <w:r w:rsidR="00080A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080AC6">
        <w:rPr>
          <w:rFonts w:ascii="Times New Roman" w:hAnsi="Times New Roman" w:cs="Times New Roman"/>
          <w:sz w:val="24"/>
          <w:szCs w:val="24"/>
          <w:lang w:eastAsia="ru-RU"/>
        </w:rPr>
        <w:t>справки изучению подлежат сведения: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Вместе с тем для долевой собственности необходимо указание размера доли лица, сведения об имуществе которого представляются;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о наименовании регистрационного органа, в котором зарегистрировано транспортное средство (например, наименование органа Госавтоинспекции);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площади (кв. м) (для объектов недвижимого имущества);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96221C" w:rsidRPr="0096221C" w:rsidRDefault="0096221C" w:rsidP="006238CB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</w:t>
      </w:r>
      <w:r w:rsidR="0062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1 статьи 4 Федерального закона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Особое внимание при проведении анализа данного раздела справки следует обращать на 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96221C" w:rsidRPr="0096221C" w:rsidRDefault="009716FE" w:rsidP="009716FE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справки, об отчуждении на безвозмездной основе. Если доход от продажи (отчуждения) имущества не указан и раздел 7 справки не заполнен – у лица необходимо запросить пояснения, касающиеся порядка отчуждения данного имущества.</w:t>
      </w:r>
    </w:p>
    <w:p w:rsidR="0096221C" w:rsidRPr="0096221C" w:rsidRDefault="009716FE" w:rsidP="009716FE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в отчетном периоде нового имущества рекомендуется удостовериться, что данное имущество соразмерно доходам лица, супруги (супруга). При этом устанавливаются источники средств на его приобретение 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сведения, которые были указаны в справках за предыдущие отчетные периоды (при их наличии).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имущества в результате совершения безвозмездной сделки (наследования, дарения) устанавливается наследодатель (даритель), а лицу предлагается дать соответствующие пояснения, поскольку возможна ситуация возникновения конфликта интересов.</w:t>
      </w:r>
    </w:p>
    <w:p w:rsidR="0096221C" w:rsidRPr="0096221C" w:rsidRDefault="009716FE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осуществлении анализа данного раздела,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следующее: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«Объекты недвижимого имущества, находящиеся в пользовании» справки, в котором должна быть указана информация об объекте недвижимого имущества, находящегося в пользовании, по адресу которого указанное лицо и члены его семьи зарегистрированы (постоянно или временно). Сопоставление указанных сведений осуществляется с имеющейся актуальной информацией, хранящейся в личном деле лица, представившего сведения (по состоянию на дату представления справки).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 «Объекты недвижимого имущества, находящиеся в пользовании» справки как находящийся в пользовании у остальных членов семьи (в случае совместного проживания в данном объекте недвижимости).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Объект недвижимого имущества, указанный как находящийся в собственности лица, дополнительно не должен быть указан как находящийся в пользовании того же лица (дублирование соответствующей информации является логической ошибкой при заполнении справки).</w:t>
      </w:r>
    </w:p>
    <w:p w:rsidR="0084537A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 наличии в собственности лица, супруги (супруга), несовершеннолетних детей жилого дома, дачи, садового дома, гаража, машино-места целесообразно уточнять сведения о находящемся в собственности (пользовании) земельном участке по тому же адресу, поскольку указанные объекты, как правило, возводятся на земельных участках, то есть непосредственно связаны с землей, которая может принадлежать лицу на праве собственности. При этом следует учитывать, что земельный участок, на котором возведено строение, может принадлежать на праве собственности другим лицам.</w:t>
      </w:r>
    </w:p>
    <w:p w:rsidR="0096221C" w:rsidRPr="0096221C" w:rsidRDefault="0084537A" w:rsidP="0084537A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под многоквартирным домом, а также под надземными или подземными гаражными комплекс</w:t>
      </w:r>
      <w:r w:rsidR="00B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в том числе многоэтажными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указанию.</w:t>
      </w:r>
    </w:p>
    <w:p w:rsidR="0096221C" w:rsidRPr="0096221C" w:rsidRDefault="0096221C" w:rsidP="0084537A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указанного земельного участка в пользовании лица, супруги (супруга), несовершеннолетних детей, необходимо уточнять наличие соответствующих сведений в подразделе 6.1 «Объекты недвижимого имущества, находящиеся в пользовании» справки.</w:t>
      </w:r>
    </w:p>
    <w:p w:rsidR="0096221C" w:rsidRPr="0096221C" w:rsidRDefault="0084537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 При этом в случае, если вероятная стоимость транспортного средства, приобретенного лицом, супругой (супругом), несовершеннолетними детьми в отчетном периоде является значительной и превышает их общий доход за три последних года, предшествующих отчетному периоду, необходимо проверить наличие соответствующих сведений о транспортном средстве в разделе 2 «Сведения о расходах» справки.</w:t>
      </w:r>
    </w:p>
    <w:p w:rsidR="0096221C" w:rsidRPr="0096221C" w:rsidRDefault="0084537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К фактам, позволяющим сделать вывод о возможном представлении лицом недостоверных или неполных сведений,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случаи: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сопоставлении справки за отчетный период с ранее представленными справками выявлен факт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периоду. При этом сведения о таком объекте не указаны в разделе 2 «Сведения о расходах» справки.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 справке за отчетный период лица, супруги (супруга), несовершеннолетних детей не отражены объекты недвижимости, транспортные средства, ранее принадлежавшие указанным лицам на праве собственности, и доходы от продажи объектов недвижимости и транспортных средств не указаны в разделе 1 «Сведения о доходах» справки и отсутствуют сведения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 справке за отчетный период указан новый объект недвижимого имущества. При этом реквизиты документа, являющегося законным основанием для возникновения права собственности, указывают на то, что имущество было приобретено в один из периодов, предшествующих отчетному.</w:t>
      </w:r>
    </w:p>
    <w:p w:rsidR="0096221C" w:rsidRPr="0084537A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37A" w:rsidRPr="0084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Анализ </w:t>
      </w:r>
      <w:r w:rsidRPr="0084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Раздел</w:t>
      </w:r>
      <w:r w:rsidR="0084537A" w:rsidRPr="0084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4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 «Сведения о счетах в банках и иных кредитных организациях»</w:t>
      </w:r>
    </w:p>
    <w:p w:rsidR="0096221C" w:rsidRPr="0096221C" w:rsidRDefault="0084537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ходе осуществления анализа данного раздела необходимо обращать внимание на наименование банка или иной кредитной организации, а также адрес банка или иной кредитной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в котором размещены средства лица,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 отчетный период и два предшествующих ему года. В данной ситуации к справке прилагается выписка о движении денежных средств по данному счету за отчетный период.</w:t>
      </w:r>
    </w:p>
    <w:p w:rsidR="0096221C" w:rsidRPr="0096221C" w:rsidRDefault="0096221C" w:rsidP="0084537A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представленные сведения сопоставляются с аналогичными сведениями справок предыдущих отчетных периодов (при их наличии).</w:t>
      </w:r>
    </w:p>
    <w:p w:rsidR="0096221C" w:rsidRPr="0096221C" w:rsidRDefault="0084537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даты, в справке не указывается (такие сведения указываются в справке за последующий отчетный период).</w:t>
      </w:r>
    </w:p>
    <w:p w:rsidR="0096221C" w:rsidRPr="0096221C" w:rsidRDefault="0084537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наличии кредитных договоров и открытии соответствующих счетов необходимо обращать внимание на отражение сведений в подразделе 6.2 «Срочные обязательства финансового характера» справки (при необходимости).</w:t>
      </w:r>
    </w:p>
    <w:p w:rsidR="0096221C" w:rsidRPr="0096221C" w:rsidRDefault="0084537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6221C" w:rsidRPr="0084537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фактам, позволяющим сделать вывод о возможном совершении лицом коррупционного правонарушения,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случаи: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представленной справке за отчетный период указан банковский счет, открытый ранее отчетного периода. При этом в справках за предыдущие отчетные периоды данный счет не фигурирует. В этой связи, возможна ситуация умышленного сокрытия данного счета ранее с целью осуществления денежных операций и не отражения их в справке.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Сумма остатка на счете на конец отчетного период</w:t>
      </w:r>
      <w:r w:rsidR="008453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 превышает заработную плату лица, супруги (супруга), несовершеннолетних детей. В этой связи может быть рассмотрена возможность запроса пояснений, касающихся основания получения указанной суммы.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организации. В этой связи необходимо 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96221C" w:rsidRPr="00077AB6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77AB6" w:rsidRPr="0007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Анализ Раздела 5 «Сведения о ценных бумагах»</w:t>
      </w:r>
    </w:p>
    <w:p w:rsidR="0096221C" w:rsidRPr="0096221C" w:rsidRDefault="00077AB6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анализе подраздела 5.1 «Акции и иное участие в коммерческих организациях и фондах» справки следует обратить внимание на обязательность заполнения всех соответствующих разделов. В случае наличия ценных бумаг в соответствующем подразделе должно быть указано: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полное или сокращенное официальное наименование организации и ее организационно-правовой формы;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местонахождение организации (адрес);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уставный капитал организации (особое внимание необходимо уделить случаям, при которых уставный капитал организации выражен в иностранной валюте. В данной ситуации необходимо уточнить курс Банка России на отчетную дату и осуществить соответствующие расчеты);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участия;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основания участия.</w:t>
      </w:r>
    </w:p>
    <w:p w:rsidR="0096221C" w:rsidRPr="0096221C" w:rsidRDefault="00184AB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анализе подраздела 5.2 «Иные ценные бумаги» справки следует обратить внимание на необходимость указания: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вида ценной бумаги;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лица, выпустившего ценную бумагу;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номинальной величины обязательства;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общего количества;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общей стоимости.</w:t>
      </w:r>
    </w:p>
    <w:p w:rsidR="0096221C" w:rsidRPr="0096221C" w:rsidRDefault="00184AB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 «Акции и иное участие в коммерческих организациях и фондах» справки.</w:t>
      </w:r>
    </w:p>
    <w:p w:rsidR="0096221C" w:rsidRPr="0096221C" w:rsidRDefault="00184AB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96221C" w:rsidRPr="0096221C" w:rsidRDefault="00184AB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коррупции.</w:t>
      </w:r>
    </w:p>
    <w:p w:rsidR="0096221C" w:rsidRPr="0096221C" w:rsidRDefault="00184ABA" w:rsidP="00184ABA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содержащихся сведений в подразделах 5.1 и 5.2 справки позволит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96221C" w:rsidRPr="0096221C" w:rsidRDefault="00184AB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бумаги, доли в уставном (складочном) капитале в доверительное управление – проверяется полнота исполнения указанной рекомендации.</w:t>
      </w:r>
    </w:p>
    <w:p w:rsidR="0096221C" w:rsidRDefault="00184ABA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29396C" w:rsidRPr="0029396C" w:rsidRDefault="0029396C" w:rsidP="0029396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9396C">
        <w:rPr>
          <w:rFonts w:ascii="Times New Roman" w:hAnsi="Times New Roman" w:cs="Times New Roman"/>
          <w:sz w:val="24"/>
          <w:szCs w:val="24"/>
        </w:rPr>
        <w:t>9.9. В случае выявления факта отчуждения ценных бумаг и долей участия в коммерческих</w:t>
      </w:r>
      <w:r w:rsidRPr="0029396C">
        <w:t xml:space="preserve"> </w:t>
      </w:r>
      <w:r w:rsidRPr="0029396C">
        <w:rPr>
          <w:rFonts w:ascii="Times New Roman" w:hAnsi="Times New Roman" w:cs="Times New Roman"/>
          <w:sz w:val="24"/>
          <w:szCs w:val="24"/>
        </w:rPr>
        <w:t xml:space="preserve">организациях, получения дивидендов или дохода от операций с ценными бумагами соответствующая информация подлежит отражению в </w:t>
      </w:r>
      <w:hyperlink r:id="rId12" w:history="1">
        <w:r w:rsidRPr="0029396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29396C">
        <w:rPr>
          <w:rFonts w:ascii="Times New Roman" w:hAnsi="Times New Roman" w:cs="Times New Roman"/>
          <w:sz w:val="24"/>
          <w:szCs w:val="24"/>
        </w:rPr>
        <w:t xml:space="preserve"> "Сведения о доходах" справки. При отчуждении ценных бумаг и долей участия в коммерческих организациях на безвозмездной основе должен быть заполнен </w:t>
      </w:r>
      <w:hyperlink r:id="rId13" w:history="1">
        <w:r w:rsidRPr="0029396C">
          <w:rPr>
            <w:rFonts w:ascii="Times New Roman" w:hAnsi="Times New Roman" w:cs="Times New Roman"/>
            <w:sz w:val="24"/>
            <w:szCs w:val="24"/>
          </w:rPr>
          <w:t>раздел 7</w:t>
        </w:r>
      </w:hyperlink>
      <w:r w:rsidRPr="0029396C">
        <w:rPr>
          <w:rFonts w:ascii="Times New Roman" w:hAnsi="Times New Roman" w:cs="Times New Roman"/>
          <w:sz w:val="24"/>
          <w:szCs w:val="24"/>
        </w:rPr>
        <w:t xml:space="preserve"> "Сведения о недвижимом имуществе, транспортных средствах и ценных бумагах, отчужденных в течение отчетного периода в результате безвозмездной сделки" справки.</w:t>
      </w:r>
    </w:p>
    <w:p w:rsidR="0029396C" w:rsidRPr="0029396C" w:rsidRDefault="0029396C" w:rsidP="0029396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6C">
        <w:rPr>
          <w:rFonts w:ascii="Times New Roman" w:hAnsi="Times New Roman" w:cs="Times New Roman"/>
          <w:sz w:val="24"/>
          <w:szCs w:val="24"/>
        </w:rPr>
        <w:t xml:space="preserve">9.10. В случае приобретения ценных бумаг, долей участия в коммерческих организациях целесообразно уточнить стоимость их приобретения и, как следствие, необходимость заполнения </w:t>
      </w:r>
      <w:hyperlink r:id="rId14" w:history="1">
        <w:r w:rsidRPr="0029396C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29396C">
        <w:rPr>
          <w:rFonts w:ascii="Times New Roman" w:hAnsi="Times New Roman" w:cs="Times New Roman"/>
          <w:sz w:val="24"/>
          <w:szCs w:val="24"/>
        </w:rPr>
        <w:t xml:space="preserve"> "Сведения о расходах" справки. Одновременно необходимо 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96221C" w:rsidRPr="0029396C" w:rsidRDefault="00184ABA" w:rsidP="0029396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6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9396C" w:rsidRPr="0029396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221C" w:rsidRPr="0029396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7F75FC" w:rsidRDefault="007F75F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FC" w:rsidRPr="007F75FC" w:rsidRDefault="007F75F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Анализ Раздела 6 «Сведения об обязательствах имущественного характера»</w:t>
      </w:r>
    </w:p>
    <w:p w:rsidR="0096221C" w:rsidRPr="0096221C" w:rsidRDefault="00294E69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вида имущества;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вида и сроков пользования;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основания пользования;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местонахождения (адреса);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площади (кв. м).</w:t>
      </w:r>
    </w:p>
    <w:p w:rsidR="0096221C" w:rsidRPr="0096221C" w:rsidRDefault="00294E69" w:rsidP="006238CB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случае если на титульном листе справки указанное в информации о регистрации имущество не отражено в подразделе 3.1 «Недвижимое имущество» справки, такое имущество подлежит указанию в подразделе 6.1 «Объекты недвижимого имущества, нах</w:t>
      </w:r>
      <w:r w:rsidR="0062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одящиеся в пользовании» справки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случаев, при которых лицо, супруга (супруг), несовершеннолетние дети не проживают по месту регистрации по объективным причинам).</w:t>
      </w:r>
    </w:p>
    <w:p w:rsidR="0029396C" w:rsidRDefault="0029396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29396C">
        <w:rPr>
          <w:rFonts w:ascii="Times New Roman" w:hAnsi="Times New Roman" w:cs="Times New Roman"/>
          <w:sz w:val="24"/>
          <w:szCs w:val="24"/>
        </w:rPr>
        <w:t xml:space="preserve">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детьми, и такие объекты не отражены в данном </w:t>
      </w:r>
      <w:hyperlink r:id="rId15" w:history="1">
        <w:r w:rsidRPr="0029396C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Pr="0029396C">
        <w:rPr>
          <w:rFonts w:ascii="Times New Roman" w:hAnsi="Times New Roman" w:cs="Times New Roman"/>
          <w:sz w:val="24"/>
          <w:szCs w:val="24"/>
        </w:rPr>
        <w:t>, то необходимо запросить соответствующие пояснения.</w:t>
      </w:r>
    </w:p>
    <w:p w:rsidR="0096221C" w:rsidRPr="0096221C" w:rsidRDefault="00294E69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939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При анализе подраздела 6.2 «Срочные обязательства финансового характера» справки следует обратить внимание на необходимость указания: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содержания обязательства;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кредитора (должника);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основания возникновения;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валюте. В данной ситуации необходимо уточнить курс Банка России на отчетную дату и осуществить соответствующие расчеты;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5) условий обязательства.</w:t>
      </w:r>
    </w:p>
    <w:p w:rsidR="0096221C" w:rsidRPr="0096221C" w:rsidRDefault="00294E69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93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96221C" w:rsidRDefault="00294E69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939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6F0250" w:rsidRPr="006F0250" w:rsidRDefault="006F0250" w:rsidP="006F025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r w:rsidRPr="006F0250">
        <w:rPr>
          <w:rFonts w:ascii="Times New Roman" w:hAnsi="Times New Roman" w:cs="Times New Roman"/>
          <w:sz w:val="24"/>
          <w:szCs w:val="24"/>
        </w:rPr>
        <w:t>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условиями. Рекомендуется использовать открытые источники информации, в том числе размещенные в информационно-телекоммуникационной сети "Интернет". Например,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дату.</w:t>
      </w:r>
    </w:p>
    <w:p w:rsidR="006F0250" w:rsidRPr="006F0250" w:rsidRDefault="006F0250" w:rsidP="006F025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50">
        <w:rPr>
          <w:rFonts w:ascii="Times New Roman" w:hAnsi="Times New Roman" w:cs="Times New Roman"/>
          <w:sz w:val="24"/>
          <w:szCs w:val="24"/>
        </w:rPr>
        <w:t>В случае существенного расхождения между этими показателями необходимо запросить пояснения.</w:t>
      </w:r>
    </w:p>
    <w:p w:rsidR="0096221C" w:rsidRPr="0096221C" w:rsidRDefault="00294E69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F02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При наличии кредитных договоров необходимо обращать внимание на отражение сведений в разделе 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</w:p>
    <w:p w:rsidR="0096221C" w:rsidRPr="0096221C" w:rsidRDefault="00294E69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F02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6F0250" w:rsidRPr="006F0250" w:rsidRDefault="00294E69" w:rsidP="006F02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6F0250">
        <w:rPr>
          <w:rFonts w:ascii="Times New Roman" w:hAnsi="Times New Roman" w:cs="Times New Roman"/>
          <w:sz w:val="24"/>
          <w:szCs w:val="24"/>
        </w:rPr>
        <w:t>10</w:t>
      </w:r>
      <w:r w:rsidR="0096221C" w:rsidRPr="0096221C">
        <w:rPr>
          <w:rFonts w:ascii="Times New Roman" w:hAnsi="Times New Roman" w:cs="Times New Roman"/>
          <w:sz w:val="24"/>
          <w:szCs w:val="24"/>
        </w:rPr>
        <w:t>. В случае указания в графе «Условия обязательства» заложенного имущества в обеспечение срочного обязательства финансового характера, следует уточнить необходимость отражения такого имущества в разделе 3 «Сведения об имуществе» справки.</w:t>
      </w:r>
      <w:r w:rsidR="006F0250" w:rsidRPr="006F0250">
        <w:t xml:space="preserve"> </w:t>
      </w:r>
      <w:r w:rsidR="006F0250" w:rsidRPr="006F0250">
        <w:rPr>
          <w:rFonts w:ascii="Times New Roman" w:hAnsi="Times New Roman" w:cs="Times New Roman"/>
          <w:sz w:val="24"/>
          <w:szCs w:val="24"/>
        </w:rPr>
        <w:t>В случае наличия сомнений в объективности представленных сведений необходимо запросить пояснения, в том числе в отношении источника погашения обязательств.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939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0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96221C" w:rsidRPr="0096221C" w:rsidRDefault="00294E69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6F02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разделе 1 «Сведения о доходах» представленных справок. </w:t>
      </w:r>
    </w:p>
    <w:p w:rsidR="0096221C" w:rsidRPr="0096221C" w:rsidRDefault="0096221C" w:rsidP="00294E69">
      <w:pPr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превышает общий доход лица, супруги (супруга) и несовершеннолетних (детей) за отчетный период.</w:t>
      </w:r>
    </w:p>
    <w:p w:rsidR="006F0250" w:rsidRPr="006F0250" w:rsidRDefault="00294E69" w:rsidP="00AD188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6F0250">
        <w:rPr>
          <w:rFonts w:ascii="Times New Roman" w:hAnsi="Times New Roman" w:cs="Times New Roman"/>
          <w:sz w:val="24"/>
          <w:szCs w:val="24"/>
        </w:rPr>
        <w:t>3</w:t>
      </w:r>
      <w:r w:rsidR="0096221C" w:rsidRPr="0096221C">
        <w:rPr>
          <w:rFonts w:ascii="Times New Roman" w:hAnsi="Times New Roman" w:cs="Times New Roman"/>
          <w:sz w:val="24"/>
          <w:szCs w:val="24"/>
        </w:rPr>
        <w:t xml:space="preserve">. В случае если лицо, супруга (супруг) выступают в качестве кредиторов необходимо </w:t>
      </w:r>
      <w:r w:rsidR="0096221C" w:rsidRPr="006F0250">
        <w:rPr>
          <w:rFonts w:ascii="Times New Roman" w:hAnsi="Times New Roman" w:cs="Times New Roman"/>
          <w:sz w:val="24"/>
          <w:szCs w:val="24"/>
        </w:rPr>
        <w:t xml:space="preserve">сумму предоставленных средств сопоставить с доходами, полученными за отчетный период. </w:t>
      </w:r>
      <w:r w:rsidR="006F0250" w:rsidRPr="006F0250">
        <w:rPr>
          <w:rFonts w:ascii="Times New Roman" w:hAnsi="Times New Roman" w:cs="Times New Roman"/>
          <w:sz w:val="24"/>
          <w:szCs w:val="24"/>
        </w:rPr>
        <w:t>В случае наличия сомнений в объективности представленных сведений необходимо запросить пояснения.</w:t>
      </w:r>
    </w:p>
    <w:p w:rsidR="006F0250" w:rsidRDefault="00294E69" w:rsidP="006F0250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6F02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пояснения.</w:t>
      </w:r>
    </w:p>
    <w:p w:rsidR="006F0250" w:rsidRPr="006F0250" w:rsidRDefault="0096221C" w:rsidP="006F025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F0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0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250" w:rsidRPr="006F0250">
        <w:rPr>
          <w:rFonts w:ascii="Times New Roman" w:hAnsi="Times New Roman" w:cs="Times New Roman"/>
          <w:sz w:val="24"/>
          <w:szCs w:val="24"/>
        </w:rPr>
        <w:t>В целях определения среднерыночной ставки и условий предоставления кредитных средств рекомендуется использовать открытые источники информации, в том числе размещенные в информационно-телекоммуникационной сети "Интернет", анализируя ставки и условия кредитных продуктов соответствующего банка или иной кредитной организации на соответствующую дату.</w:t>
      </w:r>
    </w:p>
    <w:p w:rsid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80" w:rsidRPr="004E1080" w:rsidRDefault="004E1080" w:rsidP="004E1080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Анализ 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96221C" w:rsidRPr="0096221C" w:rsidRDefault="004E1080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  <w:r w:rsidR="0091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96221C" w:rsidRPr="0096221C" w:rsidRDefault="00914B5B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отношении объекта имущества, ранее находившегося в собственности, осуществлена безвозмездная сделка в устной форме, такая информация должна быть указана в разделе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справки.</w:t>
      </w:r>
    </w:p>
    <w:p w:rsidR="0096221C" w:rsidRPr="0096221C" w:rsidRDefault="00914B5B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96221C"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</w:p>
    <w:p w:rsidR="0096221C" w:rsidRPr="0096221C" w:rsidRDefault="0096221C" w:rsidP="0096221C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1D1" w:rsidRPr="00E52D49" w:rsidRDefault="0096221C" w:rsidP="00E52D49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401D1" w:rsidRPr="00E52D49" w:rsidSect="0096221C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34" w:rsidRDefault="00E62634" w:rsidP="00AA1BE2">
      <w:pPr>
        <w:spacing w:after="0" w:line="240" w:lineRule="auto"/>
      </w:pPr>
      <w:r>
        <w:separator/>
      </w:r>
    </w:p>
  </w:endnote>
  <w:endnote w:type="continuationSeparator" w:id="1">
    <w:p w:rsidR="00E62634" w:rsidRDefault="00E62634" w:rsidP="00AA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24579"/>
      <w:docPartObj>
        <w:docPartGallery w:val="Page Numbers (Bottom of Page)"/>
        <w:docPartUnique/>
      </w:docPartObj>
    </w:sdtPr>
    <w:sdtContent>
      <w:p w:rsidR="0029396C" w:rsidRDefault="006012E1">
        <w:pPr>
          <w:pStyle w:val="aa"/>
          <w:jc w:val="center"/>
        </w:pPr>
        <w:fldSimple w:instr=" PAGE   \* MERGEFORMAT ">
          <w:r w:rsidR="00870608">
            <w:rPr>
              <w:noProof/>
            </w:rPr>
            <w:t>4</w:t>
          </w:r>
        </w:fldSimple>
      </w:p>
    </w:sdtContent>
  </w:sdt>
  <w:p w:rsidR="0029396C" w:rsidRDefault="002939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34" w:rsidRDefault="00E62634" w:rsidP="00AA1BE2">
      <w:pPr>
        <w:spacing w:after="0" w:line="240" w:lineRule="auto"/>
      </w:pPr>
      <w:r>
        <w:separator/>
      </w:r>
    </w:p>
  </w:footnote>
  <w:footnote w:type="continuationSeparator" w:id="1">
    <w:p w:rsidR="00E62634" w:rsidRDefault="00E62634" w:rsidP="00AA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1E6"/>
    <w:multiLevelType w:val="hybridMultilevel"/>
    <w:tmpl w:val="E4206438"/>
    <w:lvl w:ilvl="0" w:tplc="D9C03D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7EB6"/>
    <w:multiLevelType w:val="multilevel"/>
    <w:tmpl w:val="C684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103B"/>
    <w:multiLevelType w:val="hybridMultilevel"/>
    <w:tmpl w:val="A5E828B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D3012"/>
    <w:multiLevelType w:val="multilevel"/>
    <w:tmpl w:val="B6CA18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44B0177"/>
    <w:multiLevelType w:val="multilevel"/>
    <w:tmpl w:val="9F4C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12802"/>
    <w:multiLevelType w:val="multilevel"/>
    <w:tmpl w:val="316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01E17"/>
    <w:multiLevelType w:val="hybridMultilevel"/>
    <w:tmpl w:val="75A0E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323701"/>
    <w:multiLevelType w:val="hybridMultilevel"/>
    <w:tmpl w:val="0CA80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6B12FF"/>
    <w:multiLevelType w:val="hybridMultilevel"/>
    <w:tmpl w:val="30BC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631F2"/>
    <w:multiLevelType w:val="multilevel"/>
    <w:tmpl w:val="8CA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35379"/>
    <w:multiLevelType w:val="multilevel"/>
    <w:tmpl w:val="124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C6CB7"/>
    <w:multiLevelType w:val="multilevel"/>
    <w:tmpl w:val="D21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2"/>
    </w:lvlOverride>
  </w:num>
  <w:num w:numId="2">
    <w:abstractNumId w:val="1"/>
    <w:lvlOverride w:ilvl="0">
      <w:startOverride w:val="2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21C"/>
    <w:rsid w:val="000535A8"/>
    <w:rsid w:val="00077AB6"/>
    <w:rsid w:val="00080AC6"/>
    <w:rsid w:val="00172A56"/>
    <w:rsid w:val="00184ABA"/>
    <w:rsid w:val="00212B63"/>
    <w:rsid w:val="00240964"/>
    <w:rsid w:val="0028560C"/>
    <w:rsid w:val="0029396C"/>
    <w:rsid w:val="00294E69"/>
    <w:rsid w:val="002B632B"/>
    <w:rsid w:val="002D581E"/>
    <w:rsid w:val="002D6C2A"/>
    <w:rsid w:val="003220AE"/>
    <w:rsid w:val="003940DC"/>
    <w:rsid w:val="00443407"/>
    <w:rsid w:val="00453D26"/>
    <w:rsid w:val="004B2D0F"/>
    <w:rsid w:val="004D5FE4"/>
    <w:rsid w:val="004E1080"/>
    <w:rsid w:val="00547E03"/>
    <w:rsid w:val="005C7B0B"/>
    <w:rsid w:val="006012E1"/>
    <w:rsid w:val="006238CB"/>
    <w:rsid w:val="00633283"/>
    <w:rsid w:val="006F0250"/>
    <w:rsid w:val="007401D1"/>
    <w:rsid w:val="00742DBD"/>
    <w:rsid w:val="007A4069"/>
    <w:rsid w:val="007F75FC"/>
    <w:rsid w:val="0084010E"/>
    <w:rsid w:val="0084537A"/>
    <w:rsid w:val="00870608"/>
    <w:rsid w:val="008C178D"/>
    <w:rsid w:val="00914B5B"/>
    <w:rsid w:val="00923AD1"/>
    <w:rsid w:val="009263D0"/>
    <w:rsid w:val="00956CCE"/>
    <w:rsid w:val="0096221C"/>
    <w:rsid w:val="009716FE"/>
    <w:rsid w:val="009C03EE"/>
    <w:rsid w:val="00AA1BE2"/>
    <w:rsid w:val="00AD1884"/>
    <w:rsid w:val="00B12EE5"/>
    <w:rsid w:val="00B95427"/>
    <w:rsid w:val="00BF10D1"/>
    <w:rsid w:val="00C658DD"/>
    <w:rsid w:val="00C80756"/>
    <w:rsid w:val="00DA275F"/>
    <w:rsid w:val="00DE0DED"/>
    <w:rsid w:val="00DE5125"/>
    <w:rsid w:val="00E4013C"/>
    <w:rsid w:val="00E52D49"/>
    <w:rsid w:val="00E62634"/>
    <w:rsid w:val="00E9381E"/>
    <w:rsid w:val="00F57C71"/>
    <w:rsid w:val="00FD3C18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1"/>
  </w:style>
  <w:style w:type="paragraph" w:styleId="2">
    <w:name w:val="heading 2"/>
    <w:basedOn w:val="a"/>
    <w:link w:val="20"/>
    <w:uiPriority w:val="9"/>
    <w:qFormat/>
    <w:rsid w:val="00962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21C"/>
    <w:rPr>
      <w:b/>
      <w:bCs/>
    </w:rPr>
  </w:style>
  <w:style w:type="character" w:styleId="a5">
    <w:name w:val="Emphasis"/>
    <w:basedOn w:val="a0"/>
    <w:qFormat/>
    <w:rsid w:val="0096221C"/>
    <w:rPr>
      <w:i/>
      <w:iCs/>
    </w:rPr>
  </w:style>
  <w:style w:type="character" w:styleId="a6">
    <w:name w:val="Hyperlink"/>
    <w:basedOn w:val="a0"/>
    <w:uiPriority w:val="99"/>
    <w:semiHidden/>
    <w:unhideWhenUsed/>
    <w:rsid w:val="009622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581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A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BE2"/>
  </w:style>
  <w:style w:type="paragraph" w:styleId="aa">
    <w:name w:val="footer"/>
    <w:basedOn w:val="a"/>
    <w:link w:val="ab"/>
    <w:uiPriority w:val="99"/>
    <w:unhideWhenUsed/>
    <w:rsid w:val="00AA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BE2"/>
  </w:style>
  <w:style w:type="paragraph" w:styleId="ac">
    <w:name w:val="No Spacing"/>
    <w:uiPriority w:val="1"/>
    <w:qFormat/>
    <w:rsid w:val="002B632B"/>
    <w:pPr>
      <w:spacing w:after="0" w:line="240" w:lineRule="auto"/>
    </w:pPr>
  </w:style>
  <w:style w:type="paragraph" w:customStyle="1" w:styleId="ConsPlusNormal">
    <w:name w:val="ConsPlusNormal"/>
    <w:rsid w:val="00DE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42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89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363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0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4867DBDBE525E913A1E40D9875BEEEBD27BD027AAD73E6E0987597E1371B79AF09E5D304674369RDm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867DBDBE525E913A1E40D9875BEEEBD27BD027AAD73E6E0987597E1371B79AF09E5D30467406CRDm2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867DBDBE525E913A1E40D9875BEEEBD27BD027AAD73E6E0987597E1371B79AF09E5D30467426BRDmAC" TargetMode="Externa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2910" TargetMode="External"/><Relationship Id="rId14" Type="http://schemas.openxmlformats.org/officeDocument/2006/relationships/hyperlink" Target="consultantplus://offline/ref=424867DBDBE525E913A1E40D9875BEEEBD27BD027AAD73E6E0987597E1371B79AF09E5D30467406FRD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DDFA-D87D-4A79-900B-6C2874E2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EroshkinaEV</dc:creator>
  <cp:keywords/>
  <dc:description/>
  <cp:lastModifiedBy>user</cp:lastModifiedBy>
  <cp:revision>14</cp:revision>
  <cp:lastPrinted>2018-08-29T04:35:00Z</cp:lastPrinted>
  <dcterms:created xsi:type="dcterms:W3CDTF">2018-08-27T05:14:00Z</dcterms:created>
  <dcterms:modified xsi:type="dcterms:W3CDTF">2018-09-03T00:10:00Z</dcterms:modified>
</cp:coreProperties>
</file>